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F21369" w:rsidRPr="00003403" w:rsidRDefault="00F21369" w:rsidP="00F21369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  <w:r>
        <w:rPr>
          <w:rFonts w:ascii="Garamond" w:eastAsia="Times New Roman" w:hAnsi="Garamond" w:cs="Times New Roman"/>
          <w:bCs/>
          <w:iCs/>
          <w:color w:val="010000"/>
          <w:sz w:val="16"/>
        </w:rPr>
        <w:t>, President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F21369" w:rsidRPr="00003403" w:rsidRDefault="00F21369" w:rsidP="00F21369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F21369" w:rsidRPr="00003403" w:rsidRDefault="00F21369" w:rsidP="00F21369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F21369" w:rsidRPr="00003403" w:rsidRDefault="00F21369" w:rsidP="00F21369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2611A31" wp14:editId="02368526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F21369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February 22, 2017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Wednesday @ 5:30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 PM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Board Office via Video Conference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99 Edmiston Way – Suite 214</w:t>
      </w:r>
    </w:p>
    <w:p w:rsidR="00F21369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Buckhannon, WV  26201</w:t>
      </w: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Pr="00003403" w:rsidRDefault="00F21369" w:rsidP="00F21369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Pr="00003403" w:rsidRDefault="00F21369" w:rsidP="00F21369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Pr="00003403" w:rsidRDefault="00F21369" w:rsidP="00F21369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9060817" wp14:editId="37712236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F21369" w:rsidRPr="00003403" w:rsidRDefault="00F21369" w:rsidP="00F21369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Pr="00003403" w:rsidRDefault="00F21369" w:rsidP="00F21369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>
        <w:rPr>
          <w:rFonts w:ascii="Garamond" w:eastAsia="Times New Roman" w:hAnsi="Garamond" w:cs="Times New Roman"/>
          <w:bCs/>
          <w:iCs/>
          <w:color w:val="010000"/>
        </w:rPr>
        <w:t>January 26, 2017</w:t>
      </w:r>
    </w:p>
    <w:p w:rsidR="00F21369" w:rsidRPr="00003403" w:rsidRDefault="00F21369" w:rsidP="00F21369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Default="00F21369" w:rsidP="00F21369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proofErr w:type="spellStart"/>
      <w:r>
        <w:rPr>
          <w:rFonts w:ascii="Garamond" w:eastAsia="Times New Roman" w:hAnsi="Garamond" w:cs="Times New Roman"/>
          <w:bCs/>
          <w:iCs/>
          <w:color w:val="010000"/>
        </w:rPr>
        <w:t>PCard</w:t>
      </w:r>
      <w:proofErr w:type="spellEnd"/>
      <w:r>
        <w:rPr>
          <w:rFonts w:ascii="Garamond" w:eastAsia="Times New Roman" w:hAnsi="Garamond" w:cs="Times New Roman"/>
          <w:bCs/>
          <w:iCs/>
          <w:color w:val="010000"/>
        </w:rPr>
        <w:t xml:space="preserve"> Purchasing Report</w:t>
      </w:r>
    </w:p>
    <w:p w:rsidR="00F21369" w:rsidRDefault="00F21369" w:rsidP="00F21369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Pr="00003403" w:rsidRDefault="00F21369" w:rsidP="00F21369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– Greg Foster, Attorney</w:t>
      </w:r>
    </w:p>
    <w:p w:rsidR="00F21369" w:rsidRDefault="00F21369" w:rsidP="00F21369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Complaint #46 – SLP working outside scope of practice</w:t>
      </w:r>
    </w:p>
    <w:p w:rsidR="00F21369" w:rsidRDefault="00F21369" w:rsidP="00F21369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Complaint 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Supervisor of </w:t>
      </w:r>
      <w:r>
        <w:rPr>
          <w:rFonts w:ascii="Garamond" w:eastAsia="Times New Roman" w:hAnsi="Garamond" w:cs="Times New Roman"/>
          <w:bCs/>
          <w:iCs/>
          <w:color w:val="010000"/>
        </w:rPr>
        <w:t>unlicensed Clinical Fellow – Hearing Update</w:t>
      </w:r>
    </w:p>
    <w:p w:rsidR="00F21369" w:rsidRDefault="00F21369" w:rsidP="00F21369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</w:t>
      </w:r>
      <w:r w:rsidR="0019423E">
        <w:rPr>
          <w:rFonts w:ascii="Garamond" w:eastAsia="Times New Roman" w:hAnsi="Garamond" w:cs="Times New Roman"/>
          <w:bCs/>
          <w:iCs/>
          <w:color w:val="010000"/>
        </w:rPr>
        <w:t>, if any – Writ of Mandamus</w:t>
      </w:r>
      <w:bookmarkStart w:id="0" w:name="_GoBack"/>
      <w:bookmarkEnd w:id="0"/>
    </w:p>
    <w:p w:rsidR="00F21369" w:rsidRDefault="00F21369" w:rsidP="00F21369">
      <w:pPr>
        <w:ind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Default="00F21369" w:rsidP="00F21369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5.  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>Old Business</w:t>
      </w:r>
    </w:p>
    <w:p w:rsidR="00F21369" w:rsidRDefault="00F21369" w:rsidP="00F21369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 xml:space="preserve"> - Copier Purchase/Leasing Costs</w:t>
      </w:r>
    </w:p>
    <w:p w:rsidR="00F21369" w:rsidRPr="00217BE9" w:rsidRDefault="00F21369" w:rsidP="00F21369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 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 xml:space="preserve"> - Computer Purchase (CPU)</w:t>
      </w:r>
    </w:p>
    <w:p w:rsidR="00F21369" w:rsidRPr="00003403" w:rsidRDefault="00F21369" w:rsidP="00F21369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Default="00F21369" w:rsidP="00F21369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.  </w:t>
      </w:r>
      <w:r>
        <w:rPr>
          <w:rFonts w:ascii="Garamond" w:eastAsia="Times New Roman" w:hAnsi="Garamond" w:cs="Times New Roman"/>
          <w:bCs/>
          <w:iCs/>
          <w:color w:val="010000"/>
        </w:rPr>
        <w:t>New Business</w:t>
      </w:r>
    </w:p>
    <w:p w:rsidR="00F21369" w:rsidRDefault="00F21369" w:rsidP="00F21369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Legislative Rule Update</w:t>
      </w:r>
    </w:p>
    <w:p w:rsidR="00F21369" w:rsidRDefault="00F21369" w:rsidP="00F21369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WVSHA Vendor Table</w:t>
      </w:r>
    </w:p>
    <w:p w:rsidR="00F21369" w:rsidRDefault="00F21369" w:rsidP="00F21369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License Renewal Stats – if available</w:t>
      </w:r>
    </w:p>
    <w:p w:rsidR="00F21369" w:rsidRDefault="00F21369" w:rsidP="00F21369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F21369" w:rsidRDefault="00F21369" w:rsidP="00F21369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8C0857" w:rsidRDefault="008C0857"/>
    <w:sectPr w:rsidR="008C0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D6B"/>
    <w:multiLevelType w:val="hybridMultilevel"/>
    <w:tmpl w:val="5C547D80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69"/>
    <w:rsid w:val="0019423E"/>
    <w:rsid w:val="008C0857"/>
    <w:rsid w:val="00E370F9"/>
    <w:rsid w:val="00F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4</cp:revision>
  <cp:lastPrinted>2017-02-20T14:24:00Z</cp:lastPrinted>
  <dcterms:created xsi:type="dcterms:W3CDTF">2017-02-17T18:57:00Z</dcterms:created>
  <dcterms:modified xsi:type="dcterms:W3CDTF">2017-02-20T14:25:00Z</dcterms:modified>
</cp:coreProperties>
</file>